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1448A8" w:rsidRDefault="00AD5BD9" w:rsidP="001448A8">
      <w:pPr>
        <w:spacing w:line="240" w:lineRule="auto"/>
        <w:contextualSpacing/>
        <w:jc w:val="center"/>
        <w:rPr>
          <w:rFonts w:cs="Andalus"/>
          <w:b/>
          <w:i/>
          <w:sz w:val="28"/>
          <w:szCs w:val="28"/>
        </w:rPr>
      </w:pPr>
      <w:r>
        <w:rPr>
          <w:rFonts w:cs="Andalus"/>
          <w:b/>
          <w:i/>
          <w:sz w:val="28"/>
          <w:szCs w:val="28"/>
        </w:rPr>
        <w:t xml:space="preserve">CEHS </w:t>
      </w:r>
      <w:r w:rsidR="006023AE">
        <w:rPr>
          <w:rFonts w:cs="Andalus"/>
          <w:b/>
          <w:i/>
          <w:sz w:val="28"/>
          <w:szCs w:val="28"/>
        </w:rPr>
        <w:t>Highlights</w:t>
      </w:r>
      <w:r>
        <w:rPr>
          <w:rFonts w:cs="Andalus"/>
          <w:b/>
          <w:i/>
          <w:sz w:val="28"/>
          <w:szCs w:val="28"/>
        </w:rPr>
        <w:t>/Updates</w:t>
      </w:r>
    </w:p>
    <w:p w:rsidR="001448A8" w:rsidRDefault="00AD5BD9" w:rsidP="001448A8">
      <w:pPr>
        <w:spacing w:line="240" w:lineRule="auto"/>
        <w:jc w:val="center"/>
        <w:rPr>
          <w:rFonts w:cs="Andalus"/>
          <w:b/>
          <w:i/>
          <w:sz w:val="28"/>
          <w:szCs w:val="28"/>
        </w:rPr>
      </w:pPr>
      <w:r>
        <w:rPr>
          <w:rFonts w:cs="Andalus"/>
          <w:b/>
          <w:i/>
          <w:sz w:val="28"/>
          <w:szCs w:val="28"/>
        </w:rPr>
        <w:t>January, 2017</w:t>
      </w:r>
    </w:p>
    <w:p w:rsidR="00AD5BD9" w:rsidRDefault="00AD5BD9" w:rsidP="001448A8">
      <w:pPr>
        <w:spacing w:line="240" w:lineRule="auto"/>
        <w:jc w:val="center"/>
        <w:rPr>
          <w:rFonts w:cs="Andalus"/>
          <w:b/>
          <w:i/>
          <w:sz w:val="28"/>
          <w:szCs w:val="28"/>
        </w:rPr>
      </w:pPr>
    </w:p>
    <w:p w:rsidR="00AD5BD9" w:rsidRDefault="00AD5BD9" w:rsidP="00AD5BD9">
      <w:pPr>
        <w:pStyle w:val="ListParagraph"/>
        <w:numPr>
          <w:ilvl w:val="0"/>
          <w:numId w:val="5"/>
        </w:numPr>
        <w:spacing w:line="240" w:lineRule="auto"/>
        <w:rPr>
          <w:rFonts w:cs="Andalus"/>
          <w:sz w:val="28"/>
          <w:szCs w:val="28"/>
        </w:rPr>
      </w:pPr>
      <w:r>
        <w:rPr>
          <w:rFonts w:cs="Andalus"/>
          <w:sz w:val="28"/>
          <w:szCs w:val="28"/>
        </w:rPr>
        <w:t>When GA funding is not from a CEHS department, please do NOT do the offer letter or send to the Business Center to process the PAF.  The department that is providing funding should prepare the offer letter and the PAF.</w:t>
      </w:r>
    </w:p>
    <w:p w:rsidR="00BF00CE" w:rsidRDefault="00BF00CE" w:rsidP="00BF00CE">
      <w:pPr>
        <w:pStyle w:val="ListParagraph"/>
        <w:spacing w:line="240" w:lineRule="auto"/>
        <w:rPr>
          <w:rFonts w:cs="Andalus"/>
          <w:sz w:val="28"/>
          <w:szCs w:val="28"/>
        </w:rPr>
      </w:pPr>
    </w:p>
    <w:p w:rsidR="00AD5BD9" w:rsidRDefault="00AD5BD9" w:rsidP="00AD5BD9">
      <w:pPr>
        <w:pStyle w:val="ListParagraph"/>
        <w:numPr>
          <w:ilvl w:val="0"/>
          <w:numId w:val="5"/>
        </w:numPr>
        <w:spacing w:line="240" w:lineRule="auto"/>
        <w:rPr>
          <w:rFonts w:cs="Andalus"/>
          <w:sz w:val="28"/>
          <w:szCs w:val="28"/>
        </w:rPr>
      </w:pPr>
      <w:r>
        <w:rPr>
          <w:rFonts w:cs="Andalus"/>
          <w:sz w:val="28"/>
          <w:szCs w:val="28"/>
        </w:rPr>
        <w:t xml:space="preserve">Please make sure every GA offer letter </w:t>
      </w:r>
      <w:r w:rsidR="00BF00CE">
        <w:rPr>
          <w:rFonts w:cs="Andalus"/>
          <w:sz w:val="28"/>
          <w:szCs w:val="28"/>
        </w:rPr>
        <w:t>sent to the Business Center for processing include</w:t>
      </w:r>
      <w:r w:rsidR="005F4371">
        <w:rPr>
          <w:rFonts w:cs="Andalus"/>
          <w:sz w:val="28"/>
          <w:szCs w:val="28"/>
        </w:rPr>
        <w:t>s</w:t>
      </w:r>
      <w:r w:rsidR="00BF00CE">
        <w:rPr>
          <w:rFonts w:cs="Andalus"/>
          <w:sz w:val="28"/>
          <w:szCs w:val="28"/>
        </w:rPr>
        <w:t>:</w:t>
      </w:r>
    </w:p>
    <w:p w:rsidR="00BF00CE" w:rsidRDefault="00BF00CE" w:rsidP="00BF00CE">
      <w:pPr>
        <w:pStyle w:val="ListParagraph"/>
        <w:numPr>
          <w:ilvl w:val="1"/>
          <w:numId w:val="5"/>
        </w:numPr>
        <w:spacing w:line="240" w:lineRule="auto"/>
        <w:rPr>
          <w:rFonts w:cs="Andalus"/>
          <w:sz w:val="28"/>
          <w:szCs w:val="28"/>
        </w:rPr>
      </w:pPr>
      <w:r>
        <w:rPr>
          <w:rFonts w:cs="Andalus"/>
          <w:sz w:val="28"/>
          <w:szCs w:val="28"/>
        </w:rPr>
        <w:t>Copy that contains all signatures (department chair and student)</w:t>
      </w:r>
    </w:p>
    <w:p w:rsidR="00BF00CE" w:rsidRDefault="00BF00CE" w:rsidP="00BF00CE">
      <w:pPr>
        <w:pStyle w:val="ListParagraph"/>
        <w:numPr>
          <w:ilvl w:val="1"/>
          <w:numId w:val="5"/>
        </w:numPr>
        <w:spacing w:line="240" w:lineRule="auto"/>
        <w:rPr>
          <w:rFonts w:cs="Andalus"/>
          <w:sz w:val="28"/>
          <w:szCs w:val="28"/>
        </w:rPr>
      </w:pPr>
      <w:r>
        <w:rPr>
          <w:rFonts w:cs="Andalus"/>
          <w:sz w:val="28"/>
          <w:szCs w:val="28"/>
        </w:rPr>
        <w:t>Student’s NU ID</w:t>
      </w:r>
    </w:p>
    <w:p w:rsidR="005F4371" w:rsidRDefault="00BF00CE" w:rsidP="005F4371">
      <w:pPr>
        <w:pStyle w:val="ListParagraph"/>
        <w:numPr>
          <w:ilvl w:val="1"/>
          <w:numId w:val="5"/>
        </w:numPr>
        <w:spacing w:line="240" w:lineRule="auto"/>
        <w:rPr>
          <w:rFonts w:cs="Andalus"/>
          <w:sz w:val="28"/>
          <w:szCs w:val="28"/>
        </w:rPr>
      </w:pPr>
      <w:r>
        <w:rPr>
          <w:rFonts w:cs="Andalus"/>
          <w:sz w:val="28"/>
          <w:szCs w:val="28"/>
        </w:rPr>
        <w:t>Student’s given name if also use a ‘known as’ name</w:t>
      </w:r>
    </w:p>
    <w:p w:rsidR="005F4371" w:rsidRPr="005F4371" w:rsidRDefault="005F4371" w:rsidP="005F4371">
      <w:pPr>
        <w:pStyle w:val="ListParagraph"/>
        <w:numPr>
          <w:ilvl w:val="1"/>
          <w:numId w:val="5"/>
        </w:numPr>
        <w:spacing w:line="240" w:lineRule="auto"/>
        <w:rPr>
          <w:rFonts w:cs="Andalus"/>
          <w:sz w:val="28"/>
          <w:szCs w:val="28"/>
        </w:rPr>
      </w:pPr>
      <w:r>
        <w:rPr>
          <w:rFonts w:cs="Andalus"/>
          <w:sz w:val="28"/>
          <w:szCs w:val="28"/>
        </w:rPr>
        <w:t>State</w:t>
      </w:r>
      <w:r w:rsidR="006766D6">
        <w:rPr>
          <w:rFonts w:cs="Andalus"/>
          <w:sz w:val="28"/>
          <w:szCs w:val="28"/>
        </w:rPr>
        <w:t>s</w:t>
      </w:r>
      <w:r>
        <w:rPr>
          <w:rFonts w:cs="Andalus"/>
          <w:sz w:val="28"/>
          <w:szCs w:val="28"/>
        </w:rPr>
        <w:t xml:space="preserve"> if the offer is for a </w:t>
      </w:r>
      <w:r>
        <w:rPr>
          <w:rFonts w:cs="Andalus"/>
          <w:sz w:val="28"/>
          <w:szCs w:val="28"/>
          <w:u w:val="single"/>
        </w:rPr>
        <w:t>Teaching</w:t>
      </w:r>
      <w:r>
        <w:rPr>
          <w:rFonts w:cs="Andalus"/>
          <w:sz w:val="28"/>
          <w:szCs w:val="28"/>
        </w:rPr>
        <w:t xml:space="preserve"> or </w:t>
      </w:r>
      <w:r>
        <w:rPr>
          <w:rFonts w:cs="Andalus"/>
          <w:sz w:val="28"/>
          <w:szCs w:val="28"/>
          <w:u w:val="single"/>
        </w:rPr>
        <w:t>Research</w:t>
      </w:r>
      <w:r>
        <w:rPr>
          <w:rFonts w:cs="Andalus"/>
          <w:sz w:val="28"/>
          <w:szCs w:val="28"/>
        </w:rPr>
        <w:t xml:space="preserve"> Assistantship</w:t>
      </w:r>
    </w:p>
    <w:p w:rsidR="005F4371" w:rsidRDefault="005F4371" w:rsidP="005F4371">
      <w:pPr>
        <w:pStyle w:val="ListParagraph"/>
        <w:numPr>
          <w:ilvl w:val="1"/>
          <w:numId w:val="5"/>
        </w:numPr>
        <w:spacing w:line="240" w:lineRule="auto"/>
        <w:rPr>
          <w:rFonts w:cs="Andalus"/>
          <w:sz w:val="28"/>
          <w:szCs w:val="28"/>
        </w:rPr>
      </w:pPr>
      <w:r>
        <w:rPr>
          <w:rFonts w:cs="Andalus"/>
          <w:sz w:val="28"/>
          <w:szCs w:val="28"/>
        </w:rPr>
        <w:t>Gradu</w:t>
      </w:r>
      <w:bookmarkStart w:id="0" w:name="_GoBack"/>
      <w:bookmarkEnd w:id="0"/>
      <w:r>
        <w:rPr>
          <w:rFonts w:cs="Andalus"/>
          <w:sz w:val="28"/>
          <w:szCs w:val="28"/>
        </w:rPr>
        <w:t xml:space="preserve">ate </w:t>
      </w:r>
      <w:r>
        <w:rPr>
          <w:rFonts w:cs="Andalus"/>
          <w:sz w:val="28"/>
          <w:szCs w:val="28"/>
          <w:u w:val="single"/>
        </w:rPr>
        <w:t>Teaching</w:t>
      </w:r>
      <w:r>
        <w:rPr>
          <w:rFonts w:cs="Andalus"/>
          <w:sz w:val="28"/>
          <w:szCs w:val="28"/>
        </w:rPr>
        <w:t xml:space="preserve"> Assistantship offer letters MUST use the semester dates as published in the Guidelines for Graduate Assistantships (“green memo”)</w:t>
      </w:r>
    </w:p>
    <w:p w:rsidR="005F4371" w:rsidRDefault="005F4371" w:rsidP="005F4371">
      <w:pPr>
        <w:pStyle w:val="ListParagraph"/>
        <w:spacing w:line="240" w:lineRule="auto"/>
        <w:rPr>
          <w:rFonts w:cs="Andalus"/>
          <w:sz w:val="28"/>
          <w:szCs w:val="28"/>
        </w:rPr>
      </w:pPr>
    </w:p>
    <w:p w:rsidR="005F4371" w:rsidRDefault="005F4371" w:rsidP="005F4371">
      <w:pPr>
        <w:pStyle w:val="ListParagraph"/>
        <w:numPr>
          <w:ilvl w:val="0"/>
          <w:numId w:val="5"/>
        </w:numPr>
        <w:spacing w:line="240" w:lineRule="auto"/>
        <w:rPr>
          <w:rFonts w:cs="Andalus"/>
          <w:sz w:val="28"/>
          <w:szCs w:val="28"/>
        </w:rPr>
      </w:pPr>
      <w:r>
        <w:rPr>
          <w:rFonts w:cs="Andalus"/>
          <w:sz w:val="28"/>
          <w:szCs w:val="28"/>
        </w:rPr>
        <w:t>If a student is graduating and will continue to work in the department, please let the Business Center know as their status needs to be changed in Payroll; can no longer be paid as a student (either hourly or as a GA).</w:t>
      </w:r>
    </w:p>
    <w:p w:rsidR="005F4371" w:rsidRPr="005F4371" w:rsidRDefault="005F4371" w:rsidP="005F4371">
      <w:pPr>
        <w:spacing w:line="240" w:lineRule="auto"/>
        <w:rPr>
          <w:rFonts w:cs="Andalus"/>
          <w:sz w:val="28"/>
          <w:szCs w:val="28"/>
        </w:rPr>
      </w:pPr>
    </w:p>
    <w:p w:rsidR="005F4371" w:rsidRPr="005F4371" w:rsidRDefault="005F4371" w:rsidP="005F4371">
      <w:pPr>
        <w:spacing w:line="240" w:lineRule="auto"/>
        <w:rPr>
          <w:rFonts w:cs="Andalus"/>
          <w:sz w:val="28"/>
          <w:szCs w:val="28"/>
        </w:rPr>
      </w:pPr>
    </w:p>
    <w:sectPr w:rsidR="005F4371" w:rsidRPr="005F4371" w:rsidSect="001056D9">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ndalus">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31F8C"/>
    <w:multiLevelType w:val="hybridMultilevel"/>
    <w:tmpl w:val="DABE3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691BD1"/>
    <w:multiLevelType w:val="hybridMultilevel"/>
    <w:tmpl w:val="A84AB8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914EF5"/>
    <w:multiLevelType w:val="hybridMultilevel"/>
    <w:tmpl w:val="A510E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9A676A"/>
    <w:multiLevelType w:val="hybridMultilevel"/>
    <w:tmpl w:val="B60A0DC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2535FF3"/>
    <w:multiLevelType w:val="hybridMultilevel"/>
    <w:tmpl w:val="204A1D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520"/>
    <w:rsid w:val="00025AE9"/>
    <w:rsid w:val="001056D9"/>
    <w:rsid w:val="001448A8"/>
    <w:rsid w:val="004C37B5"/>
    <w:rsid w:val="005D7B85"/>
    <w:rsid w:val="005F4371"/>
    <w:rsid w:val="006023AE"/>
    <w:rsid w:val="006766D6"/>
    <w:rsid w:val="006D5DA1"/>
    <w:rsid w:val="007F0E21"/>
    <w:rsid w:val="0090279C"/>
    <w:rsid w:val="009A03FD"/>
    <w:rsid w:val="009A184E"/>
    <w:rsid w:val="009C3390"/>
    <w:rsid w:val="009F766E"/>
    <w:rsid w:val="00A0467E"/>
    <w:rsid w:val="00AD5BD9"/>
    <w:rsid w:val="00BF00CE"/>
    <w:rsid w:val="00C861FF"/>
    <w:rsid w:val="00CA3D63"/>
    <w:rsid w:val="00CE0520"/>
    <w:rsid w:val="00DB68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fc"/>
      <o:colormenu v:ext="edit" fillcolor="none [3212]"/>
    </o:shapedefaults>
    <o:shapelayout v:ext="edit">
      <o:idmap v:ext="edit" data="1"/>
    </o:shapelayout>
  </w:shapeDefaults>
  <w:decimalSymbol w:val="."/>
  <w:listSeparator w:val=","/>
  <w14:docId w14:val="125A8052"/>
  <w15:docId w15:val="{7419F6EC-214E-4B7E-9B32-B31B80062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2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0520"/>
    <w:pPr>
      <w:ind w:left="720"/>
      <w:contextualSpacing/>
    </w:pPr>
  </w:style>
  <w:style w:type="character" w:styleId="Hyperlink">
    <w:name w:val="Hyperlink"/>
    <w:basedOn w:val="DefaultParagraphFont"/>
    <w:uiPriority w:val="99"/>
    <w:unhideWhenUsed/>
    <w:rsid w:val="001448A8"/>
    <w:rPr>
      <w:color w:val="6B9F25" w:themeColor="hyperlink"/>
      <w:u w:val="single"/>
    </w:rPr>
  </w:style>
  <w:style w:type="paragraph" w:styleId="BalloonText">
    <w:name w:val="Balloon Text"/>
    <w:basedOn w:val="Normal"/>
    <w:link w:val="BalloonTextChar"/>
    <w:uiPriority w:val="99"/>
    <w:semiHidden/>
    <w:unhideWhenUsed/>
    <w:rsid w:val="009027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27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Red Violet">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Grunge Texture">
      <a:fillStyleLst>
        <a:solidFill>
          <a:schemeClr val="phClr"/>
        </a:solidFill>
        <a:blipFill rotWithShape="1">
          <a:blip xmlns:r="http://schemas.openxmlformats.org/officeDocument/2006/relationships" r:embed="rId1">
            <a:duotone>
              <a:schemeClr val="phClr">
                <a:tint val="67000"/>
                <a:shade val="65000"/>
              </a:schemeClr>
              <a:schemeClr val="phClr">
                <a:tint val="10000"/>
                <a:satMod val="130000"/>
              </a:schemeClr>
            </a:duotone>
          </a:blip>
          <a:tile tx="0" ty="0" sx="60000" sy="59000" flip="none" algn="b"/>
        </a:blipFill>
        <a:blipFill rotWithShape="1">
          <a:blip xmlns:r="http://schemas.openxmlformats.org/officeDocument/2006/relationships" r:embed="rId1">
            <a:duotone>
              <a:schemeClr val="phClr">
                <a:shade val="30000"/>
                <a:satMod val="115000"/>
              </a:schemeClr>
              <a:schemeClr val="phClr">
                <a:tint val="34000"/>
              </a:schemeClr>
            </a:duotone>
          </a:blip>
          <a:tile tx="0" ty="0" sx="60000" sy="59000" flip="none" algn="b"/>
        </a:blipFill>
      </a:fillStyleLst>
      <a:lnStyleLst>
        <a:ln w="6350" cap="flat" cmpd="sng" algn="ctr">
          <a:solidFill>
            <a:schemeClr val="phClr">
              <a:tint val="70000"/>
            </a:scheme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softEdge rad="12700"/>
          </a:effectLst>
        </a:effectStyle>
        <a:effectStyle>
          <a:effectLst>
            <a:outerShdw blurRad="50800" dist="19050" dir="5400000" algn="tl" rotWithShape="0">
              <a:srgbClr val="000000">
                <a:alpha val="60000"/>
              </a:srgbClr>
            </a:outerShdw>
            <a:softEdge rad="12700"/>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509B31-1C2D-47F6-8823-07A7D2330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136</Words>
  <Characters>781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Lynette Windhorst</dc:creator>
  <cp:lastModifiedBy>Donna Hahn</cp:lastModifiedBy>
  <cp:revision>4</cp:revision>
  <cp:lastPrinted>2016-01-11T19:45:00Z</cp:lastPrinted>
  <dcterms:created xsi:type="dcterms:W3CDTF">2017-01-19T17:35:00Z</dcterms:created>
  <dcterms:modified xsi:type="dcterms:W3CDTF">2017-01-27T15:37:00Z</dcterms:modified>
</cp:coreProperties>
</file>