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6B49" w14:textId="045930A1" w:rsidR="00CC700A" w:rsidRPr="00CC700A" w:rsidRDefault="00CC700A" w:rsidP="00CC700A">
      <w:pPr>
        <w:spacing w:after="100" w:afterAutospacing="1"/>
        <w:ind w:left="-7"/>
        <w:outlineLvl w:val="3"/>
        <w:rPr>
          <w:rFonts w:ascii="Gotham SSm A" w:eastAsia="Times New Roman" w:hAnsi="Gotham SSm A" w:cs="Times New Roman"/>
          <w:b/>
          <w:bCs/>
          <w:color w:val="242423"/>
          <w:spacing w:val="-7"/>
          <w:sz w:val="22"/>
          <w:szCs w:val="22"/>
        </w:rPr>
      </w:pPr>
      <w:r w:rsidRPr="00CC700A">
        <w:rPr>
          <w:rFonts w:ascii="Arial" w:eastAsia="Times New Roman" w:hAnsi="Arial" w:cs="Arial"/>
          <w:b/>
          <w:bCs/>
          <w:color w:val="242423"/>
          <w:spacing w:val="-7"/>
          <w:sz w:val="44"/>
          <w:szCs w:val="44"/>
        </w:rPr>
        <w:t>Educational Studies</w:t>
      </w:r>
      <w:r>
        <w:rPr>
          <w:rFonts w:ascii="Gotham SSm A" w:eastAsia="Times New Roman" w:hAnsi="Gotham SSm A" w:cs="Times New Roman"/>
          <w:b/>
          <w:bCs/>
          <w:color w:val="242423"/>
          <w:spacing w:val="-7"/>
          <w:sz w:val="36"/>
          <w:szCs w:val="36"/>
        </w:rPr>
        <w:br/>
      </w:r>
      <w:r w:rsidRPr="00CC700A">
        <w:rPr>
          <w:rFonts w:ascii="Arial" w:eastAsia="Times New Roman" w:hAnsi="Arial" w:cs="Arial"/>
          <w:color w:val="242423"/>
          <w:spacing w:val="-7"/>
          <w:sz w:val="22"/>
          <w:szCs w:val="22"/>
        </w:rPr>
        <w:t>DOCTOR OF EDUCATION (ED.D.)</w:t>
      </w:r>
    </w:p>
    <w:p w14:paraId="3CE6CB93" w14:textId="1C76A50B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Spring 2019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Challenges &amp; Opportunities TEAC 995 (3 credits)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Seminar in Education TEAC 949 (3 credits)</w:t>
      </w:r>
    </w:p>
    <w:p w14:paraId="0EA659C3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7D1CA269" w14:textId="1EC384A9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Summer 2019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Challenges &amp; Opportunities TEAC 995 (3 credits)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 xml:space="preserve">Choice (3 </w:t>
      </w:r>
      <w:proofErr w:type="gramStart"/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t>credits)*</w:t>
      </w:r>
      <w:proofErr w:type="gramEnd"/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t>/ South Africa travel study option* (6 credits)</w:t>
      </w:r>
    </w:p>
    <w:p w14:paraId="4DC512FF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4E8F9872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Fall 2019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Challenges &amp; Opportunities TEAC 995 (2 credits)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Practitioner Inquiry I TEAC 930 (3 credits)</w:t>
      </w:r>
    </w:p>
    <w:p w14:paraId="75D82274" w14:textId="592E12D6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t>Choice* (3 credits)</w:t>
      </w:r>
    </w:p>
    <w:p w14:paraId="5795895C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7FAEC28F" w14:textId="5CBBA1CA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Spring 2020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Challenges &amp; Opportunities TEAC 995 (1 credit)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Practitioner Inquiry II TEAC 930 (3 credits)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Choice* (3 credits)</w:t>
      </w:r>
    </w:p>
    <w:p w14:paraId="253ABB3E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6E6AE30E" w14:textId="4788F1F6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Summer 2020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Practitioner Inquiry III TEAC 930 (3 credits)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Choice* (6 credits)</w:t>
      </w:r>
    </w:p>
    <w:p w14:paraId="7743F7E5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15957AB6" w14:textId="6DA5391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Fall 2020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Practitioner Inquiry IV TEAC 930 (3 credits) Comprehensive Exams</w:t>
      </w:r>
    </w:p>
    <w:p w14:paraId="768C1114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22915DE1" w14:textId="55B1E67F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Spring 2021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TEAC 999 Dissertation (3 credits)</w:t>
      </w:r>
    </w:p>
    <w:p w14:paraId="24E483E9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3DCB3856" w14:textId="4D1B9398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Summer 2021</w:t>
      </w:r>
      <w:bookmarkStart w:id="0" w:name="_GoBack"/>
      <w:bookmarkEnd w:id="0"/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TEAC 999 Dissertation (6 credits)</w:t>
      </w:r>
    </w:p>
    <w:p w14:paraId="35FA12D9" w14:textId="77777777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</w:p>
    <w:p w14:paraId="383D0C8A" w14:textId="0DBA0611" w:rsidR="00CC700A" w:rsidRPr="00CC700A" w:rsidRDefault="00CC700A" w:rsidP="00CC700A">
      <w:pPr>
        <w:rPr>
          <w:rFonts w:ascii="Times" w:eastAsia="Times New Roman" w:hAnsi="Times" w:cs="Times New Roman"/>
          <w:color w:val="424240"/>
          <w:sz w:val="27"/>
          <w:szCs w:val="27"/>
        </w:rPr>
      </w:pPr>
      <w:r w:rsidRPr="00CC700A">
        <w:rPr>
          <w:rFonts w:ascii="Times" w:eastAsia="Times New Roman" w:hAnsi="Times" w:cs="Times New Roman"/>
          <w:color w:val="424240"/>
          <w:sz w:val="27"/>
          <w:szCs w:val="27"/>
          <w:u w:val="single"/>
        </w:rPr>
        <w:t>Fall 2021</w:t>
      </w:r>
      <w:r w:rsidRPr="00CC700A">
        <w:rPr>
          <w:rFonts w:ascii="Times" w:eastAsia="Times New Roman" w:hAnsi="Times" w:cs="Times New Roman"/>
          <w:color w:val="424240"/>
          <w:sz w:val="27"/>
          <w:szCs w:val="27"/>
        </w:rPr>
        <w:br/>
        <w:t>TEAC 999 Dissertation (3 credits)</w:t>
      </w:r>
    </w:p>
    <w:p w14:paraId="34877EE3" w14:textId="77777777" w:rsidR="00CC700A" w:rsidRPr="00CC700A" w:rsidRDefault="00CC700A" w:rsidP="00CC700A">
      <w:pPr>
        <w:rPr>
          <w:rFonts w:ascii="Georgia" w:eastAsia="Times New Roman" w:hAnsi="Georgia" w:cs="Times New Roman"/>
          <w:color w:val="424240"/>
          <w:sz w:val="27"/>
          <w:szCs w:val="27"/>
        </w:rPr>
      </w:pPr>
    </w:p>
    <w:p w14:paraId="1916E70C" w14:textId="307C160D" w:rsidR="00CC700A" w:rsidRPr="00CC700A" w:rsidRDefault="00CC700A" w:rsidP="00CC700A">
      <w:pPr>
        <w:rPr>
          <w:rFonts w:ascii="Times New Roman" w:eastAsia="Times New Roman" w:hAnsi="Times New Roman" w:cs="Times New Roman"/>
        </w:rPr>
      </w:pPr>
      <w:r w:rsidRPr="00CC700A">
        <w:rPr>
          <w:rFonts w:ascii="Georgia" w:eastAsia="Times New Roman" w:hAnsi="Georgia" w:cs="Times New Roman"/>
          <w:color w:val="424240"/>
          <w:sz w:val="27"/>
          <w:szCs w:val="27"/>
        </w:rPr>
        <w:t>*</w:t>
      </w:r>
      <w:r w:rsidRPr="00CC700A">
        <w:rPr>
          <w:rFonts w:ascii="Times New Roman" w:eastAsia="Times New Roman" w:hAnsi="Times New Roman" w:cs="Times New Roman"/>
        </w:rPr>
        <w:t xml:space="preserve">Note, this sequence imagines an </w:t>
      </w:r>
      <w:proofErr w:type="spellStart"/>
      <w:r w:rsidR="00CB6EF9">
        <w:rPr>
          <w:rFonts w:ascii="Times New Roman" w:eastAsia="Times New Roman" w:hAnsi="Times New Roman" w:cs="Times New Roman"/>
        </w:rPr>
        <w:t>Ed.</w:t>
      </w:r>
      <w:proofErr w:type="gramStart"/>
      <w:r w:rsidR="00CB6EF9">
        <w:rPr>
          <w:rFonts w:ascii="Times New Roman" w:eastAsia="Times New Roman" w:hAnsi="Times New Roman" w:cs="Times New Roman"/>
        </w:rPr>
        <w:t>D.</w:t>
      </w:r>
      <w:r w:rsidRPr="00CC700A">
        <w:rPr>
          <w:rFonts w:ascii="Times New Roman" w:eastAsia="Times New Roman" w:hAnsi="Times New Roman" w:cs="Times New Roman"/>
        </w:rPr>
        <w:t>student</w:t>
      </w:r>
      <w:proofErr w:type="spellEnd"/>
      <w:proofErr w:type="gramEnd"/>
      <w:r w:rsidRPr="00CC700A">
        <w:rPr>
          <w:rFonts w:ascii="Times New Roman" w:eastAsia="Times New Roman" w:hAnsi="Times New Roman" w:cs="Times New Roman"/>
        </w:rPr>
        <w:t xml:space="preserve"> transfers the maximum-allowed 45 credit hours from previous graduate work; students bringing in fewer previous hours will need to take additional choice courses.  For example, a student bringing in 36 hours would take 24 credit hours (8 courses worth) of ‘choice’ classes instead the 15 hours (5 courses) depicted above.</w:t>
      </w:r>
    </w:p>
    <w:p w14:paraId="1EAA73D4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  <w:b/>
          <w:bCs/>
        </w:rPr>
        <w:lastRenderedPageBreak/>
        <w:t xml:space="preserve">Practitioner knowledge is at the core of our </w:t>
      </w:r>
      <w:proofErr w:type="spellStart"/>
      <w:r w:rsidRPr="00CC700A">
        <w:rPr>
          <w:rFonts w:ascii="Times New Roman" w:eastAsia="Times New Roman" w:hAnsi="Times New Roman" w:cs="Times New Roman"/>
          <w:b/>
          <w:bCs/>
        </w:rPr>
        <w:t>Ed.D</w:t>
      </w:r>
      <w:proofErr w:type="spellEnd"/>
      <w:r w:rsidRPr="00CC700A">
        <w:rPr>
          <w:rFonts w:ascii="Times New Roman" w:eastAsia="Times New Roman" w:hAnsi="Times New Roman" w:cs="Times New Roman"/>
          <w:b/>
          <w:bCs/>
        </w:rPr>
        <w:t>. program.  A team of faculty will work together over multiple terms to determine purposeful intersections and connections across Core Interdisciplinary Experiences that include:</w:t>
      </w:r>
    </w:p>
    <w:p w14:paraId="0C2A55E6" w14:textId="77777777" w:rsidR="00CC700A" w:rsidRPr="00CC700A" w:rsidRDefault="00CC700A" w:rsidP="00CC700A">
      <w:pPr>
        <w:spacing w:before="240" w:after="100" w:afterAutospacing="1"/>
        <w:ind w:left="-7"/>
        <w:outlineLvl w:val="3"/>
        <w:rPr>
          <w:rFonts w:ascii="Arial" w:eastAsia="Times New Roman" w:hAnsi="Arial" w:cs="Arial"/>
          <w:color w:val="242423"/>
          <w:spacing w:val="-7"/>
          <w:sz w:val="36"/>
          <w:szCs w:val="36"/>
        </w:rPr>
      </w:pPr>
      <w:r w:rsidRPr="00CC700A">
        <w:rPr>
          <w:rFonts w:ascii="Arial" w:eastAsia="Times New Roman" w:hAnsi="Arial" w:cs="Arial"/>
          <w:color w:val="242423"/>
          <w:spacing w:val="-7"/>
          <w:sz w:val="36"/>
          <w:szCs w:val="36"/>
        </w:rPr>
        <w:t>Challenges &amp; Opportunities</w:t>
      </w:r>
    </w:p>
    <w:p w14:paraId="4F2E0FC7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 xml:space="preserve">From the onset of applying for the </w:t>
      </w:r>
      <w:proofErr w:type="spellStart"/>
      <w:r w:rsidRPr="00CC700A">
        <w:rPr>
          <w:rFonts w:ascii="Times New Roman" w:eastAsia="Times New Roman" w:hAnsi="Times New Roman" w:cs="Times New Roman"/>
        </w:rPr>
        <w:t>Ed.D</w:t>
      </w:r>
      <w:proofErr w:type="spellEnd"/>
      <w:r w:rsidRPr="00CC700A">
        <w:rPr>
          <w:rFonts w:ascii="Times New Roman" w:eastAsia="Times New Roman" w:hAnsi="Times New Roman" w:cs="Times New Roman"/>
        </w:rPr>
        <w:t>. cohort, participating educators will be asked to question and inquire into existing challenges and opportunities of current educational practice. This experience will permeate across the years of study and act as a catalyst for the design and cumulative iterations of practitioner’s action research projects.</w:t>
      </w:r>
    </w:p>
    <w:p w14:paraId="35201A1D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Practitioner-Based Action Research projects will entail systematic, interactive, critical, and creative inquiry examining teaching/learning processes, instruction, and contexts for professional practices, new knowledge generation will act by:</w:t>
      </w:r>
    </w:p>
    <w:p w14:paraId="2B9695B1" w14:textId="77777777" w:rsidR="00CC700A" w:rsidRPr="00CC700A" w:rsidRDefault="00CC700A" w:rsidP="00CC700A">
      <w:pPr>
        <w:numPr>
          <w:ilvl w:val="0"/>
          <w:numId w:val="1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Catalyzing for insights, improvements, and changes in educational settings via study of "ideas in action".</w:t>
      </w:r>
    </w:p>
    <w:p w14:paraId="4AF961E5" w14:textId="77777777" w:rsidR="00CC700A" w:rsidRPr="00CC700A" w:rsidRDefault="00CC700A" w:rsidP="00CC700A">
      <w:pPr>
        <w:numPr>
          <w:ilvl w:val="0"/>
          <w:numId w:val="1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Fostering support for the planning, acting, observing, and reflecting cycle of practitioner-based action research.</w:t>
      </w:r>
    </w:p>
    <w:p w14:paraId="5C2D69AD" w14:textId="77777777" w:rsidR="00CC700A" w:rsidRPr="00CC700A" w:rsidRDefault="00CC700A" w:rsidP="00CC700A">
      <w:pPr>
        <w:numPr>
          <w:ilvl w:val="0"/>
          <w:numId w:val="1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Connecting projects and resources through cultivating a network supporting and informing practitioner-based action research.</w:t>
      </w:r>
    </w:p>
    <w:p w14:paraId="553C09BB" w14:textId="77777777" w:rsidR="00CC700A" w:rsidRPr="00CC700A" w:rsidRDefault="00CC700A" w:rsidP="00CC700A">
      <w:pPr>
        <w:spacing w:before="240" w:after="100" w:afterAutospacing="1"/>
        <w:ind w:left="-7"/>
        <w:outlineLvl w:val="3"/>
        <w:rPr>
          <w:rFonts w:ascii="Arial" w:eastAsia="Times New Roman" w:hAnsi="Arial" w:cs="Arial"/>
          <w:color w:val="242423"/>
          <w:spacing w:val="-7"/>
          <w:sz w:val="36"/>
          <w:szCs w:val="36"/>
        </w:rPr>
      </w:pPr>
      <w:r w:rsidRPr="00CC700A">
        <w:rPr>
          <w:rFonts w:ascii="Arial" w:eastAsia="Times New Roman" w:hAnsi="Arial" w:cs="Arial"/>
          <w:color w:val="242423"/>
          <w:spacing w:val="-7"/>
          <w:sz w:val="36"/>
          <w:szCs w:val="36"/>
        </w:rPr>
        <w:t>Field Studies in Education: The theory/practice terrain</w:t>
      </w:r>
    </w:p>
    <w:p w14:paraId="7B4E3CBF" w14:textId="77777777" w:rsidR="00CC700A" w:rsidRPr="00CC700A" w:rsidRDefault="00CC700A" w:rsidP="00CC700A">
      <w:pPr>
        <w:numPr>
          <w:ilvl w:val="0"/>
          <w:numId w:val="2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Mapping the socio-historical, philosophical, pragmatic, and ethical considerations of the scholarship of practice from the perspectives of teachers and teaching, learners and learning, and policy.</w:t>
      </w:r>
    </w:p>
    <w:p w14:paraId="037D6839" w14:textId="77777777" w:rsidR="00CC700A" w:rsidRPr="00CC700A" w:rsidRDefault="00CC700A" w:rsidP="00CC700A">
      <w:pPr>
        <w:numPr>
          <w:ilvl w:val="0"/>
          <w:numId w:val="2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Developing a common language and shared discourse about education practice.</w:t>
      </w:r>
    </w:p>
    <w:p w14:paraId="7D13F77E" w14:textId="77777777" w:rsidR="00CC700A" w:rsidRPr="00CC700A" w:rsidRDefault="00CC700A" w:rsidP="00CC700A">
      <w:pPr>
        <w:numPr>
          <w:ilvl w:val="0"/>
          <w:numId w:val="2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Guiding understandings of the multiple methodologies and epistemologies constituting the scholarship of practice and their representations within the department, enabling practitioners to situate their respective work and action research projects.</w:t>
      </w:r>
    </w:p>
    <w:p w14:paraId="020AA419" w14:textId="77777777" w:rsidR="00CC700A" w:rsidRPr="00CC700A" w:rsidRDefault="00CC700A" w:rsidP="00CC700A">
      <w:pPr>
        <w:spacing w:before="240" w:after="100" w:afterAutospacing="1"/>
        <w:ind w:left="-7"/>
        <w:outlineLvl w:val="3"/>
        <w:rPr>
          <w:rFonts w:ascii="Arial" w:eastAsia="Times New Roman" w:hAnsi="Arial" w:cs="Arial"/>
          <w:color w:val="242423"/>
          <w:spacing w:val="-7"/>
          <w:sz w:val="36"/>
          <w:szCs w:val="36"/>
        </w:rPr>
      </w:pPr>
      <w:r w:rsidRPr="00CC700A">
        <w:rPr>
          <w:rFonts w:ascii="Arial" w:eastAsia="Times New Roman" w:hAnsi="Arial" w:cs="Arial"/>
          <w:color w:val="242423"/>
          <w:spacing w:val="-7"/>
          <w:sz w:val="36"/>
          <w:szCs w:val="36"/>
        </w:rPr>
        <w:t>Research Methods Coursework</w:t>
      </w:r>
    </w:p>
    <w:p w14:paraId="6D46085B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 General Practitioner-based Action Research courses will provide an overview of quantitative and qualitative traditions for all cohort participants.  A second practitioner-based research course will be selected to provide an intellectual and methodological basis for advanced, specialized study.  Two additional courses will support the development of iterations of the practitioner-based action research project.  These courses will enable you to:</w:t>
      </w:r>
    </w:p>
    <w:p w14:paraId="32BB6A85" w14:textId="77777777" w:rsidR="00CC700A" w:rsidRPr="00CC700A" w:rsidRDefault="00CC700A" w:rsidP="00CC700A">
      <w:pPr>
        <w:numPr>
          <w:ilvl w:val="0"/>
          <w:numId w:val="3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Read with understanding across empirical and theoretical research from diverse traditions exploring educational praxis.</w:t>
      </w:r>
    </w:p>
    <w:p w14:paraId="5AF24A9B" w14:textId="77777777" w:rsidR="00CC700A" w:rsidRPr="00CC700A" w:rsidRDefault="00CC700A" w:rsidP="00CC700A">
      <w:pPr>
        <w:numPr>
          <w:ilvl w:val="0"/>
          <w:numId w:val="3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lastRenderedPageBreak/>
        <w:t>Gain insights into the socio-cultural problems and lived experiences of people across diverse educational settings from multiple research perspectives.</w:t>
      </w:r>
    </w:p>
    <w:p w14:paraId="1C24F16E" w14:textId="77777777" w:rsidR="00CC700A" w:rsidRPr="00CC700A" w:rsidRDefault="00CC700A" w:rsidP="00CC700A">
      <w:pPr>
        <w:numPr>
          <w:ilvl w:val="0"/>
          <w:numId w:val="3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Practice research design, data collection, analysis, and interpretation associated with a series of practitioner-based action research projects, building an intellectual and methodological basis for conducting practitioner-based action research.</w:t>
      </w:r>
    </w:p>
    <w:p w14:paraId="504EC9A0" w14:textId="77777777" w:rsidR="00CC700A" w:rsidRPr="00CC700A" w:rsidRDefault="00CC700A" w:rsidP="00CC700A">
      <w:pPr>
        <w:spacing w:before="240" w:after="100" w:afterAutospacing="1"/>
        <w:ind w:left="-7"/>
        <w:outlineLvl w:val="3"/>
        <w:rPr>
          <w:rFonts w:ascii="Arial" w:eastAsia="Times New Roman" w:hAnsi="Arial" w:cs="Arial"/>
          <w:color w:val="242423"/>
          <w:spacing w:val="-7"/>
          <w:sz w:val="36"/>
          <w:szCs w:val="36"/>
        </w:rPr>
      </w:pPr>
      <w:r w:rsidRPr="00CC700A">
        <w:rPr>
          <w:rFonts w:ascii="Arial" w:eastAsia="Times New Roman" w:hAnsi="Arial" w:cs="Arial"/>
          <w:color w:val="242423"/>
          <w:spacing w:val="-7"/>
          <w:sz w:val="36"/>
          <w:szCs w:val="36"/>
        </w:rPr>
        <w:t>Arts of the Practical Coursework</w:t>
      </w:r>
    </w:p>
    <w:p w14:paraId="7999CF98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We have created some new courses and reframed some existing courses so that concrete opportunities to negotiate theory/practice relations within educative action are key components.  The particular “concrete opportunities” take forms fitting with the intents of each course. These courses will enable you to:</w:t>
      </w:r>
    </w:p>
    <w:p w14:paraId="1CBDFD92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  <w:b/>
          <w:bCs/>
        </w:rPr>
        <w:t>Gain a language of practice through encountering, negotiating, studying, and articulating the </w:t>
      </w:r>
      <w:proofErr w:type="spellStart"/>
      <w:r w:rsidRPr="00CC700A">
        <w:rPr>
          <w:rFonts w:ascii="Times New Roman" w:eastAsia="Times New Roman" w:hAnsi="Times New Roman" w:cs="Times New Roman"/>
          <w:b/>
          <w:bCs/>
          <w:i/>
          <w:iCs/>
        </w:rPr>
        <w:t>undergoings</w:t>
      </w:r>
      <w:proofErr w:type="spellEnd"/>
      <w:r w:rsidRPr="00CC700A">
        <w:rPr>
          <w:rFonts w:ascii="Times New Roman" w:eastAsia="Times New Roman" w:hAnsi="Times New Roman" w:cs="Times New Roman"/>
          <w:b/>
          <w:bCs/>
          <w:i/>
          <w:iCs/>
        </w:rPr>
        <w:t> </w:t>
      </w:r>
      <w:proofErr w:type="spellStart"/>
      <w:r w:rsidRPr="00CC700A">
        <w:rPr>
          <w:rFonts w:ascii="Times New Roman" w:eastAsia="Times New Roman" w:hAnsi="Times New Roman" w:cs="Times New Roman"/>
          <w:b/>
          <w:bCs/>
        </w:rPr>
        <w:t>and</w:t>
      </w:r>
      <w:r w:rsidRPr="00CC700A">
        <w:rPr>
          <w:rFonts w:ascii="Times New Roman" w:eastAsia="Times New Roman" w:hAnsi="Times New Roman" w:cs="Times New Roman"/>
          <w:b/>
          <w:bCs/>
          <w:i/>
          <w:iCs/>
        </w:rPr>
        <w:t>doings</w:t>
      </w:r>
      <w:proofErr w:type="spellEnd"/>
      <w:r w:rsidRPr="00CC700A">
        <w:rPr>
          <w:rFonts w:ascii="Times New Roman" w:eastAsia="Times New Roman" w:hAnsi="Times New Roman" w:cs="Times New Roman"/>
          <w:b/>
          <w:bCs/>
        </w:rPr>
        <w:t> of classrooms.</w:t>
      </w:r>
    </w:p>
    <w:p w14:paraId="3FB58D8D" w14:textId="77777777" w:rsidR="00CC700A" w:rsidRPr="00CC700A" w:rsidRDefault="00CC700A" w:rsidP="00CC700A">
      <w:pPr>
        <w:numPr>
          <w:ilvl w:val="0"/>
          <w:numId w:val="4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Cultivate a culture of collaboration among scholars and practitioners across disciplines and roles drawing upon the experiential ground of multiple concrete teaching/learning situations.</w:t>
      </w:r>
    </w:p>
    <w:p w14:paraId="330426F3" w14:textId="77777777" w:rsidR="00CC700A" w:rsidRPr="00CC700A" w:rsidRDefault="00CC700A" w:rsidP="00CC700A">
      <w:pPr>
        <w:numPr>
          <w:ilvl w:val="0"/>
          <w:numId w:val="5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Consider the nature of learners, learning, teachers, and teaching from multiple perspectives given concrete realities.</w:t>
      </w:r>
    </w:p>
    <w:p w14:paraId="4157121E" w14:textId="77777777" w:rsidR="00CC700A" w:rsidRPr="00CC700A" w:rsidRDefault="00CC700A" w:rsidP="00CC700A">
      <w:pPr>
        <w:numPr>
          <w:ilvl w:val="0"/>
          <w:numId w:val="6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Promote cross-disciplinary/cross emphasis area debates and deliberations, reflexively figuring into the more focused emphasis area studies of educational practice that students will take part in through dissertation work.</w:t>
      </w:r>
    </w:p>
    <w:p w14:paraId="445EDA92" w14:textId="77777777" w:rsidR="00CC700A" w:rsidRPr="00CC700A" w:rsidRDefault="00CC700A" w:rsidP="00CC700A">
      <w:pPr>
        <w:spacing w:before="240" w:after="100" w:afterAutospacing="1"/>
        <w:ind w:left="-7"/>
        <w:outlineLvl w:val="3"/>
        <w:rPr>
          <w:rFonts w:ascii="Arial" w:eastAsia="Times New Roman" w:hAnsi="Arial" w:cs="Arial"/>
          <w:color w:val="242423"/>
          <w:spacing w:val="-7"/>
          <w:sz w:val="36"/>
          <w:szCs w:val="36"/>
        </w:rPr>
      </w:pPr>
      <w:r w:rsidRPr="00CC700A">
        <w:rPr>
          <w:rFonts w:ascii="Arial" w:eastAsia="Times New Roman" w:hAnsi="Arial" w:cs="Arial"/>
          <w:color w:val="242423"/>
          <w:spacing w:val="-7"/>
          <w:sz w:val="36"/>
          <w:szCs w:val="36"/>
        </w:rPr>
        <w:t>Rituals/Opportunities for sharing and dissemination</w:t>
      </w:r>
    </w:p>
    <w:p w14:paraId="05F3EC6F" w14:textId="77777777" w:rsidR="00CC700A" w:rsidRPr="00CC700A" w:rsidRDefault="00CC700A" w:rsidP="00CC700A">
      <w:pPr>
        <w:numPr>
          <w:ilvl w:val="0"/>
          <w:numId w:val="7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Purposeful sharing throughout of practitioner-based action research projects in progress</w:t>
      </w:r>
    </w:p>
    <w:p w14:paraId="79C2062F" w14:textId="77777777" w:rsidR="00CC700A" w:rsidRPr="00CC700A" w:rsidRDefault="00CC700A" w:rsidP="00CC700A">
      <w:pPr>
        <w:numPr>
          <w:ilvl w:val="0"/>
          <w:numId w:val="7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College-wide Student Research Conference participation each fall.</w:t>
      </w:r>
    </w:p>
    <w:p w14:paraId="23742B31" w14:textId="77777777" w:rsidR="00CC700A" w:rsidRPr="00CC700A" w:rsidRDefault="00CC700A" w:rsidP="00CC700A">
      <w:pPr>
        <w:numPr>
          <w:ilvl w:val="0"/>
          <w:numId w:val="7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Attendance and participation in forums such as invited guest speakers, symposiums, site visits, travel-study, and opportunities to share and critique peers’ studies.</w:t>
      </w:r>
    </w:p>
    <w:p w14:paraId="3AA9C2DB" w14:textId="77777777" w:rsidR="00CC700A" w:rsidRPr="00CC700A" w:rsidRDefault="00CC700A" w:rsidP="00CC700A">
      <w:pPr>
        <w:numPr>
          <w:ilvl w:val="0"/>
          <w:numId w:val="7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Mentorship expectations regarding the members of a second cohort initiative operating in 2-year cycles.</w:t>
      </w:r>
    </w:p>
    <w:p w14:paraId="1DA50D0C" w14:textId="77777777" w:rsidR="00CC700A" w:rsidRPr="00CC700A" w:rsidRDefault="00CC700A" w:rsidP="00CC700A">
      <w:pPr>
        <w:numPr>
          <w:ilvl w:val="0"/>
          <w:numId w:val="7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Proposals for conference presentation and alternative public forums.</w:t>
      </w:r>
    </w:p>
    <w:p w14:paraId="5FF255C1" w14:textId="77777777" w:rsidR="00CC700A" w:rsidRPr="00CC700A" w:rsidRDefault="00CC700A" w:rsidP="00CC700A">
      <w:pPr>
        <w:spacing w:before="240" w:after="100" w:afterAutospacing="1"/>
        <w:ind w:left="-7"/>
        <w:outlineLvl w:val="3"/>
        <w:rPr>
          <w:rFonts w:ascii="Arial" w:eastAsia="Times New Roman" w:hAnsi="Arial" w:cs="Arial"/>
          <w:color w:val="242423"/>
          <w:spacing w:val="-7"/>
          <w:sz w:val="36"/>
          <w:szCs w:val="36"/>
        </w:rPr>
      </w:pPr>
      <w:r w:rsidRPr="00CC700A">
        <w:rPr>
          <w:rFonts w:ascii="Arial" w:eastAsia="Times New Roman" w:hAnsi="Arial" w:cs="Arial"/>
          <w:color w:val="242423"/>
          <w:spacing w:val="-7"/>
          <w:sz w:val="36"/>
          <w:szCs w:val="36"/>
        </w:rPr>
        <w:t>Outcomes</w:t>
      </w:r>
    </w:p>
    <w:p w14:paraId="6ED0C97E" w14:textId="77777777" w:rsidR="00CC700A" w:rsidRPr="00CC700A" w:rsidRDefault="00CC700A" w:rsidP="00CC700A">
      <w:pPr>
        <w:spacing w:after="100" w:afterAutospacing="1"/>
        <w:rPr>
          <w:rFonts w:ascii="Times New Roman" w:eastAsia="Times New Roman" w:hAnsi="Times New Roman" w:cs="Times New Roman"/>
        </w:rPr>
      </w:pPr>
      <w:proofErr w:type="spellStart"/>
      <w:r w:rsidRPr="00CC700A">
        <w:rPr>
          <w:rFonts w:ascii="Times New Roman" w:eastAsia="Times New Roman" w:hAnsi="Times New Roman" w:cs="Times New Roman"/>
          <w:b/>
          <w:bCs/>
        </w:rPr>
        <w:t>Ed.D</w:t>
      </w:r>
      <w:proofErr w:type="spellEnd"/>
      <w:r w:rsidRPr="00CC700A">
        <w:rPr>
          <w:rFonts w:ascii="Times New Roman" w:eastAsia="Times New Roman" w:hAnsi="Times New Roman" w:cs="Times New Roman"/>
          <w:b/>
          <w:bCs/>
        </w:rPr>
        <w:t>. Educators are Scholars of Educational practice who:</w:t>
      </w:r>
    </w:p>
    <w:p w14:paraId="5ACED4B1" w14:textId="77777777" w:rsidR="00CC700A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Confront, consider, and articulate the complex realities and challenges facing schools, colleges, and communities today and in the future.</w:t>
      </w:r>
    </w:p>
    <w:p w14:paraId="4BC2761F" w14:textId="77777777" w:rsidR="00CC700A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lastRenderedPageBreak/>
        <w:t>Develop innovative and novel ways to address challenges at their schools, colleges, and community settings, in relation to education reform initiatives that are inherited and being re-conceptualized.</w:t>
      </w:r>
    </w:p>
    <w:p w14:paraId="7E3A6BB5" w14:textId="77777777" w:rsidR="00CC700A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Celebrate and educate for diversity in their communities, informing and impacting social justice, effecting positive changes for learners of all ages.</w:t>
      </w:r>
    </w:p>
    <w:p w14:paraId="224306E7" w14:textId="77777777" w:rsidR="00CC700A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Provide evidence for instructional programmatic approaches tailored to meet student personal learning needs and interests, and concomitantly, provide multiple forums for students to learn from others.</w:t>
      </w:r>
    </w:p>
    <w:p w14:paraId="006C810C" w14:textId="77777777" w:rsidR="00CC700A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Cultivate a community of learning professionals invested in enlarging all understandings of the work of teaching and learning</w:t>
      </w:r>
    </w:p>
    <w:p w14:paraId="5D9F5484" w14:textId="77777777" w:rsidR="00CC700A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Build professional connections that sustain and nurture educator well-being.</w:t>
      </w:r>
    </w:p>
    <w:p w14:paraId="056B09BD" w14:textId="1FFAD72F" w:rsidR="00F40724" w:rsidRPr="00CC700A" w:rsidRDefault="00CC700A" w:rsidP="00CC700A">
      <w:pPr>
        <w:numPr>
          <w:ilvl w:val="0"/>
          <w:numId w:val="8"/>
        </w:numPr>
        <w:spacing w:after="134"/>
        <w:rPr>
          <w:rFonts w:ascii="Times New Roman" w:eastAsia="Times New Roman" w:hAnsi="Times New Roman" w:cs="Times New Roman"/>
        </w:rPr>
      </w:pPr>
      <w:r w:rsidRPr="00CC700A">
        <w:rPr>
          <w:rFonts w:ascii="Times New Roman" w:eastAsia="Times New Roman" w:hAnsi="Times New Roman" w:cs="Times New Roman"/>
        </w:rPr>
        <w:t>Demonstrate expertise in an area of emphasis*, “Curriculum, Teaching &amp; Professional Development”, “Literacy, Language, &amp; Culture”, “Social Analysis, Educational Policy &amp; Reform”, "STEM Education", “Teaching and Learning with Technologies”, and "Inquiry &amp; Research in Education", providing a personal scholarly-teaching identity and a unique learning focus.</w:t>
      </w:r>
    </w:p>
    <w:sectPr w:rsidR="00F40724" w:rsidRPr="00CC700A" w:rsidSect="00020F7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E130" w14:textId="77777777" w:rsidR="00C20308" w:rsidRDefault="00C20308" w:rsidP="00CC700A">
      <w:r>
        <w:separator/>
      </w:r>
    </w:p>
  </w:endnote>
  <w:endnote w:type="continuationSeparator" w:id="0">
    <w:p w14:paraId="5D6547E2" w14:textId="77777777" w:rsidR="00C20308" w:rsidRDefault="00C20308" w:rsidP="00CC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tham SSm A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1849981"/>
      <w:docPartObj>
        <w:docPartGallery w:val="Page Numbers (Bottom of Page)"/>
        <w:docPartUnique/>
      </w:docPartObj>
    </w:sdtPr>
    <w:sdtContent>
      <w:p w14:paraId="2C889F95" w14:textId="2374E11B" w:rsidR="00CB6EF9" w:rsidRDefault="00CB6EF9" w:rsidP="00073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4468BE" w14:textId="77777777" w:rsidR="00CB6EF9" w:rsidRDefault="00CB6EF9" w:rsidP="00CB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7901187"/>
      <w:docPartObj>
        <w:docPartGallery w:val="Page Numbers (Bottom of Page)"/>
        <w:docPartUnique/>
      </w:docPartObj>
    </w:sdtPr>
    <w:sdtContent>
      <w:p w14:paraId="46200148" w14:textId="5A43B06E" w:rsidR="00CB6EF9" w:rsidRDefault="00CB6EF9" w:rsidP="00073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6E006C" w14:textId="6FE1CF82" w:rsidR="00CB6EF9" w:rsidRDefault="00CB6EF9" w:rsidP="00CB6EF9">
    <w:pPr>
      <w:pStyle w:val="Header"/>
      <w:ind w:right="360"/>
    </w:pPr>
    <w:hyperlink r:id="rId1" w:history="1">
      <w:r w:rsidRPr="00073533">
        <w:rPr>
          <w:rStyle w:val="Hyperlink"/>
        </w:rPr>
        <w:t>ht</w:t>
      </w:r>
      <w:r w:rsidRPr="00073533">
        <w:rPr>
          <w:rStyle w:val="Hyperlink"/>
        </w:rPr>
        <w:t>t</w:t>
      </w:r>
      <w:r w:rsidRPr="00073533">
        <w:rPr>
          <w:rStyle w:val="Hyperlink"/>
        </w:rPr>
        <w:t>ps://cehs.unl.edu/tlte/programs/educational-studies-edd/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B972" w14:textId="77777777" w:rsidR="00C20308" w:rsidRDefault="00C20308" w:rsidP="00CC700A">
      <w:r>
        <w:separator/>
      </w:r>
    </w:p>
  </w:footnote>
  <w:footnote w:type="continuationSeparator" w:id="0">
    <w:p w14:paraId="32F4E5FD" w14:textId="77777777" w:rsidR="00C20308" w:rsidRDefault="00C20308" w:rsidP="00CC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40920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584C9C" w14:textId="1DF4A63B" w:rsidR="00CC700A" w:rsidRDefault="00CC700A" w:rsidP="001D7CC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3E6A4" w14:textId="77777777" w:rsidR="00CC700A" w:rsidRDefault="00CC700A" w:rsidP="00CC70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7E85" w14:textId="069765F2" w:rsidR="00CC700A" w:rsidRDefault="00CC700A" w:rsidP="00CB6EF9">
    <w:pPr>
      <w:pStyle w:val="Header"/>
      <w:rPr>
        <w:rStyle w:val="PageNumber"/>
      </w:rPr>
    </w:pPr>
  </w:p>
  <w:p w14:paraId="360FB9C4" w14:textId="48E24FB7" w:rsidR="00CC700A" w:rsidRDefault="00CC700A" w:rsidP="00CB6E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11D"/>
    <w:multiLevelType w:val="multilevel"/>
    <w:tmpl w:val="0B4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4880"/>
    <w:multiLevelType w:val="multilevel"/>
    <w:tmpl w:val="13C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E3C52"/>
    <w:multiLevelType w:val="multilevel"/>
    <w:tmpl w:val="8ACA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932E3"/>
    <w:multiLevelType w:val="multilevel"/>
    <w:tmpl w:val="DFD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F4E0A"/>
    <w:multiLevelType w:val="multilevel"/>
    <w:tmpl w:val="526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A431A"/>
    <w:multiLevelType w:val="multilevel"/>
    <w:tmpl w:val="EC8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B5786"/>
    <w:multiLevelType w:val="multilevel"/>
    <w:tmpl w:val="F600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A78FF"/>
    <w:multiLevelType w:val="multilevel"/>
    <w:tmpl w:val="588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0A"/>
    <w:rsid w:val="00020F78"/>
    <w:rsid w:val="003D76C6"/>
    <w:rsid w:val="00571F6B"/>
    <w:rsid w:val="007578A0"/>
    <w:rsid w:val="00B56CAE"/>
    <w:rsid w:val="00B8185E"/>
    <w:rsid w:val="00BA665B"/>
    <w:rsid w:val="00C20308"/>
    <w:rsid w:val="00CB6EF9"/>
    <w:rsid w:val="00CC700A"/>
    <w:rsid w:val="00F40724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0AA8C"/>
  <w15:chartTrackingRefBased/>
  <w15:docId w15:val="{BE38CC3F-B275-0249-BD3D-3793C1C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70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700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C7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C700A"/>
    <w:rPr>
      <w:b/>
      <w:bCs/>
    </w:rPr>
  </w:style>
  <w:style w:type="character" w:styleId="Emphasis">
    <w:name w:val="Emphasis"/>
    <w:basedOn w:val="DefaultParagraphFont"/>
    <w:uiPriority w:val="20"/>
    <w:qFormat/>
    <w:rsid w:val="00CC70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C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0A"/>
  </w:style>
  <w:style w:type="paragraph" w:styleId="Footer">
    <w:name w:val="footer"/>
    <w:basedOn w:val="Normal"/>
    <w:link w:val="FooterChar"/>
    <w:uiPriority w:val="99"/>
    <w:unhideWhenUsed/>
    <w:rsid w:val="00CC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0A"/>
  </w:style>
  <w:style w:type="character" w:styleId="PageNumber">
    <w:name w:val="page number"/>
    <w:basedOn w:val="DefaultParagraphFont"/>
    <w:uiPriority w:val="99"/>
    <w:semiHidden/>
    <w:unhideWhenUsed/>
    <w:rsid w:val="00CC700A"/>
  </w:style>
  <w:style w:type="character" w:customStyle="1" w:styleId="Heading1Char">
    <w:name w:val="Heading 1 Char"/>
    <w:basedOn w:val="DefaultParagraphFont"/>
    <w:link w:val="Heading1"/>
    <w:uiPriority w:val="9"/>
    <w:rsid w:val="00CC7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6E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ehs.unl.edu/tlte/programs/educational-studies-e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2</cp:revision>
  <dcterms:created xsi:type="dcterms:W3CDTF">2019-05-10T19:48:00Z</dcterms:created>
  <dcterms:modified xsi:type="dcterms:W3CDTF">2019-05-21T14:31:00Z</dcterms:modified>
</cp:coreProperties>
</file>